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Default="004B7505" w:rsidP="003D6005">
      <w:pPr>
        <w:pStyle w:val="Kopfzeile"/>
        <w:jc w:val="center"/>
        <w:rPr>
          <w:rFonts w:ascii="Helvetica" w:hAnsi="Helvetica"/>
          <w:b/>
          <w:color w:val="000000"/>
        </w:rPr>
      </w:pPr>
    </w:p>
    <w:p w14:paraId="5779A3EC" w14:textId="77777777" w:rsidR="006913F8" w:rsidRDefault="006913F8" w:rsidP="003D6005">
      <w:pPr>
        <w:pStyle w:val="Kopfzeile"/>
        <w:jc w:val="center"/>
        <w:rPr>
          <w:rFonts w:ascii="Helvetica" w:hAnsi="Helvetica"/>
          <w:b/>
          <w:color w:val="000000"/>
        </w:rPr>
      </w:pPr>
    </w:p>
    <w:p w14:paraId="318BCFF1" w14:textId="1BE03662" w:rsidR="000760AF" w:rsidRPr="00822E44" w:rsidRDefault="00357AB1" w:rsidP="00822E44">
      <w:pPr>
        <w:spacing w:before="480" w:line="300" w:lineRule="auto"/>
        <w:rPr>
          <w:rFonts w:ascii="Helvetica" w:hAnsi="Helvetica" w:cs="Helvetica"/>
          <w:b/>
          <w:sz w:val="36"/>
        </w:rPr>
      </w:pPr>
      <w:r>
        <w:rPr>
          <w:rFonts w:ascii="Helvetica" w:hAnsi="Helvetica" w:cs="Helvetica"/>
          <w:b/>
          <w:sz w:val="36"/>
        </w:rPr>
        <w:t xml:space="preserve">Neue </w:t>
      </w:r>
      <w:r w:rsidRPr="00357AB1">
        <w:rPr>
          <w:rFonts w:ascii="Helvetica" w:hAnsi="Helvetica" w:cs="Helvetica"/>
          <w:b/>
          <w:sz w:val="36"/>
        </w:rPr>
        <w:t>Miele</w:t>
      </w:r>
      <w:r w:rsidR="00662403">
        <w:rPr>
          <w:rFonts w:ascii="Helvetica" w:hAnsi="Helvetica" w:cs="Helvetica"/>
          <w:b/>
          <w:sz w:val="36"/>
        </w:rPr>
        <w:t xml:space="preserve"> </w:t>
      </w:r>
      <w:r w:rsidRPr="00357AB1">
        <w:rPr>
          <w:rFonts w:ascii="Helvetica" w:hAnsi="Helvetica" w:cs="Helvetica"/>
          <w:b/>
          <w:sz w:val="36"/>
        </w:rPr>
        <w:t xml:space="preserve">Lösungen für die </w:t>
      </w:r>
      <w:r w:rsidR="00662403">
        <w:rPr>
          <w:rFonts w:ascii="Helvetica" w:hAnsi="Helvetica" w:cs="Helvetica"/>
          <w:b/>
          <w:sz w:val="36"/>
        </w:rPr>
        <w:br/>
      </w:r>
      <w:r w:rsidRPr="00357AB1">
        <w:rPr>
          <w:rFonts w:ascii="Helvetica" w:hAnsi="Helvetica" w:cs="Helvetica"/>
          <w:b/>
          <w:sz w:val="36"/>
        </w:rPr>
        <w:t>Zahngesundheit – vernetzbar</w:t>
      </w:r>
      <w:r w:rsidR="00662403">
        <w:rPr>
          <w:rFonts w:ascii="Helvetica" w:hAnsi="Helvetica" w:cs="Helvetica"/>
          <w:b/>
          <w:sz w:val="36"/>
        </w:rPr>
        <w:t xml:space="preserve"> und</w:t>
      </w:r>
      <w:r w:rsidRPr="00357AB1">
        <w:rPr>
          <w:rFonts w:ascii="Helvetica" w:hAnsi="Helvetica" w:cs="Helvetica"/>
          <w:b/>
          <w:sz w:val="36"/>
        </w:rPr>
        <w:t xml:space="preserve"> effizient </w:t>
      </w:r>
    </w:p>
    <w:p w14:paraId="29233A7B" w14:textId="628926CB" w:rsidR="00C21E06" w:rsidRDefault="00357AB1" w:rsidP="00C21E06">
      <w:pPr>
        <w:pStyle w:val="Listenabsatz"/>
        <w:numPr>
          <w:ilvl w:val="0"/>
          <w:numId w:val="2"/>
        </w:numPr>
        <w:spacing w:line="360" w:lineRule="auto"/>
        <w:ind w:left="568" w:hanging="284"/>
        <w:rPr>
          <w:rFonts w:ascii="Helvetica" w:hAnsi="Helvetica"/>
          <w:sz w:val="24"/>
        </w:rPr>
      </w:pPr>
      <w:r w:rsidRPr="00357AB1">
        <w:rPr>
          <w:rFonts w:ascii="Helvetica" w:hAnsi="Helvetica"/>
          <w:sz w:val="24"/>
        </w:rPr>
        <w:t>Thermodesinfektoren mit komfortabler Steuerung und optionaler Glastür</w:t>
      </w:r>
    </w:p>
    <w:p w14:paraId="18EFC9C3" w14:textId="599C4067" w:rsidR="00216550" w:rsidRDefault="00357AB1" w:rsidP="00216550">
      <w:pPr>
        <w:pStyle w:val="Listenabsatz"/>
        <w:numPr>
          <w:ilvl w:val="0"/>
          <w:numId w:val="2"/>
        </w:numPr>
        <w:spacing w:line="360" w:lineRule="auto"/>
        <w:ind w:left="568" w:hanging="284"/>
        <w:rPr>
          <w:rFonts w:ascii="Helvetica" w:hAnsi="Helvetica"/>
          <w:sz w:val="24"/>
        </w:rPr>
      </w:pPr>
      <w:r w:rsidRPr="00357AB1">
        <w:rPr>
          <w:rFonts w:ascii="Helvetica" w:hAnsi="Helvetica"/>
          <w:sz w:val="24"/>
        </w:rPr>
        <w:t>Innovatives Tray- und Containersystem für Desinfektoren und Sterilisatoren</w:t>
      </w:r>
    </w:p>
    <w:p w14:paraId="144BB4AF" w14:textId="225E9321" w:rsidR="00357AB1" w:rsidRDefault="00767E90" w:rsidP="00357AB1">
      <w:pPr>
        <w:overflowPunct/>
        <w:autoSpaceDE/>
        <w:autoSpaceDN/>
        <w:adjustRightInd/>
        <w:spacing w:line="300" w:lineRule="auto"/>
        <w:textAlignment w:val="auto"/>
        <w:rPr>
          <w:rFonts w:ascii="Helvetica" w:eastAsiaTheme="minorHAnsi" w:hAnsi="Helvetica" w:cstheme="minorBidi"/>
          <w:b/>
          <w:color w:val="000000"/>
          <w:szCs w:val="22"/>
          <w:lang w:eastAsia="en-US"/>
        </w:rPr>
      </w:pPr>
      <w:r>
        <w:rPr>
          <w:rFonts w:ascii="Helvetica" w:hAnsi="Helvetica" w:cs="Helvetica"/>
          <w:b/>
          <w:szCs w:val="22"/>
        </w:rPr>
        <w:t>Wals</w:t>
      </w:r>
      <w:r w:rsidR="00DF611F">
        <w:rPr>
          <w:rFonts w:ascii="Helvetica" w:hAnsi="Helvetica" w:cs="Helvetica"/>
          <w:b/>
          <w:szCs w:val="22"/>
        </w:rPr>
        <w:t xml:space="preserve">, </w:t>
      </w:r>
      <w:r w:rsidR="00C21E06">
        <w:rPr>
          <w:rFonts w:ascii="Helvetica" w:hAnsi="Helvetica" w:cs="Helvetica"/>
          <w:b/>
          <w:szCs w:val="22"/>
        </w:rPr>
        <w:t>2</w:t>
      </w:r>
      <w:r w:rsidR="0069087A">
        <w:rPr>
          <w:rFonts w:ascii="Helvetica" w:hAnsi="Helvetica" w:cs="Helvetica"/>
          <w:b/>
          <w:szCs w:val="22"/>
        </w:rPr>
        <w:t>8</w:t>
      </w:r>
      <w:r w:rsidR="007D260D">
        <w:rPr>
          <w:rFonts w:ascii="Helvetica" w:hAnsi="Helvetica" w:cs="Helvetica"/>
          <w:b/>
          <w:szCs w:val="22"/>
        </w:rPr>
        <w:t xml:space="preserve">. </w:t>
      </w:r>
      <w:r w:rsidR="0069087A">
        <w:rPr>
          <w:rFonts w:ascii="Helvetica" w:hAnsi="Helvetica" w:cs="Helvetica"/>
          <w:b/>
          <w:szCs w:val="22"/>
        </w:rPr>
        <w:t>Februar</w:t>
      </w:r>
      <w:r w:rsidR="007D260D">
        <w:rPr>
          <w:rFonts w:ascii="Helvetica" w:hAnsi="Helvetica" w:cs="Helvetica"/>
          <w:b/>
          <w:szCs w:val="22"/>
        </w:rPr>
        <w:t xml:space="preserve"> </w:t>
      </w:r>
      <w:r w:rsidR="00DF611F" w:rsidRPr="00644DC8">
        <w:rPr>
          <w:rFonts w:ascii="Helvetica" w:eastAsiaTheme="minorHAnsi" w:hAnsi="Helvetica" w:cstheme="minorBidi"/>
          <w:b/>
          <w:color w:val="000000"/>
          <w:szCs w:val="22"/>
          <w:lang w:eastAsia="en-US"/>
        </w:rPr>
        <w:t>202</w:t>
      </w:r>
      <w:r>
        <w:rPr>
          <w:rFonts w:ascii="Helvetica" w:eastAsiaTheme="minorHAnsi" w:hAnsi="Helvetica" w:cstheme="minorBidi"/>
          <w:b/>
          <w:color w:val="000000"/>
          <w:szCs w:val="22"/>
          <w:lang w:eastAsia="en-US"/>
        </w:rPr>
        <w:t>5</w:t>
      </w:r>
      <w:r w:rsidR="00DF611F" w:rsidRPr="00644DC8">
        <w:rPr>
          <w:rFonts w:ascii="Helvetica" w:eastAsiaTheme="minorHAnsi" w:hAnsi="Helvetica" w:cstheme="minorBidi"/>
          <w:b/>
          <w:color w:val="000000"/>
          <w:szCs w:val="22"/>
          <w:lang w:eastAsia="en-US"/>
        </w:rPr>
        <w:t xml:space="preserve">. </w:t>
      </w:r>
      <w:r w:rsidR="00644DC8">
        <w:rPr>
          <w:rFonts w:ascii="Helvetica" w:eastAsiaTheme="minorHAnsi" w:hAnsi="Helvetica" w:cstheme="minorBidi"/>
          <w:b/>
          <w:color w:val="000000"/>
          <w:szCs w:val="22"/>
          <w:lang w:eastAsia="en-US"/>
        </w:rPr>
        <w:t xml:space="preserve">– </w:t>
      </w:r>
      <w:r w:rsidR="00357AB1" w:rsidRPr="00357AB1">
        <w:rPr>
          <w:rFonts w:ascii="Helvetica" w:eastAsiaTheme="minorHAnsi" w:hAnsi="Helvetica" w:cstheme="minorBidi"/>
          <w:b/>
          <w:color w:val="000000"/>
          <w:szCs w:val="22"/>
          <w:lang w:eastAsia="en-US"/>
        </w:rPr>
        <w:t xml:space="preserve">Um Zahnarztpraxen im Alltag rundum zu unterstützen, bietet Miele </w:t>
      </w:r>
      <w:r w:rsidR="008539A0">
        <w:rPr>
          <w:rFonts w:ascii="Helvetica" w:eastAsiaTheme="minorHAnsi" w:hAnsi="Helvetica" w:cstheme="minorBidi"/>
          <w:b/>
          <w:color w:val="000000"/>
          <w:szCs w:val="22"/>
          <w:lang w:eastAsia="en-US"/>
        </w:rPr>
        <w:t xml:space="preserve">ab Frühjahr </w:t>
      </w:r>
      <w:r w:rsidR="00357AB1" w:rsidRPr="00357AB1">
        <w:rPr>
          <w:rFonts w:ascii="Helvetica" w:eastAsiaTheme="minorHAnsi" w:hAnsi="Helvetica" w:cstheme="minorBidi"/>
          <w:b/>
          <w:color w:val="000000"/>
          <w:szCs w:val="22"/>
          <w:lang w:eastAsia="en-US"/>
        </w:rPr>
        <w:t xml:space="preserve">2025 ein vollständig optimiertes Systemkonzept an – von neuen Thermodesinfektoren über ein innovatives Tray- und Containersystem bis zum Onlineportal Miele MOVE </w:t>
      </w:r>
      <w:proofErr w:type="spellStart"/>
      <w:r w:rsidR="00357AB1" w:rsidRPr="00357AB1">
        <w:rPr>
          <w:rFonts w:ascii="Helvetica" w:eastAsiaTheme="minorHAnsi" w:hAnsi="Helvetica" w:cstheme="minorBidi"/>
          <w:b/>
          <w:color w:val="000000"/>
          <w:szCs w:val="22"/>
          <w:lang w:eastAsia="en-US"/>
        </w:rPr>
        <w:t>Med</w:t>
      </w:r>
      <w:proofErr w:type="spellEnd"/>
      <w:r w:rsidR="00357AB1" w:rsidRPr="00357AB1">
        <w:rPr>
          <w:rFonts w:ascii="Helvetica" w:eastAsiaTheme="minorHAnsi" w:hAnsi="Helvetica" w:cstheme="minorBidi"/>
          <w:b/>
          <w:color w:val="000000"/>
          <w:szCs w:val="22"/>
          <w:lang w:eastAsia="en-US"/>
        </w:rPr>
        <w:t xml:space="preserve"> </w:t>
      </w:r>
      <w:proofErr w:type="spellStart"/>
      <w:r w:rsidR="00357AB1" w:rsidRPr="00357AB1">
        <w:rPr>
          <w:rFonts w:ascii="Helvetica" w:eastAsiaTheme="minorHAnsi" w:hAnsi="Helvetica" w:cstheme="minorBidi"/>
          <w:b/>
          <w:color w:val="000000"/>
          <w:szCs w:val="22"/>
          <w:lang w:eastAsia="en-US"/>
        </w:rPr>
        <w:t>Dent</w:t>
      </w:r>
      <w:proofErr w:type="spellEnd"/>
      <w:r w:rsidR="00357AB1" w:rsidRPr="00357AB1">
        <w:rPr>
          <w:rFonts w:ascii="Helvetica" w:eastAsiaTheme="minorHAnsi" w:hAnsi="Helvetica" w:cstheme="minorBidi"/>
          <w:b/>
          <w:color w:val="000000"/>
          <w:szCs w:val="22"/>
          <w:lang w:eastAsia="en-US"/>
        </w:rPr>
        <w:t xml:space="preserve">+, das die Dokumentation von Prozessdaten erleichtert. </w:t>
      </w:r>
    </w:p>
    <w:p w14:paraId="38DD1076" w14:textId="77777777" w:rsidR="00357AB1" w:rsidRDefault="00357AB1" w:rsidP="00357AB1">
      <w:pPr>
        <w:overflowPunct/>
        <w:autoSpaceDE/>
        <w:autoSpaceDN/>
        <w:adjustRightInd/>
        <w:spacing w:line="300" w:lineRule="auto"/>
        <w:textAlignment w:val="auto"/>
        <w:rPr>
          <w:rFonts w:ascii="Helvetica" w:eastAsiaTheme="minorHAnsi" w:hAnsi="Helvetica" w:cstheme="minorBidi"/>
          <w:bCs/>
          <w:color w:val="000000"/>
          <w:szCs w:val="22"/>
          <w:lang w:eastAsia="en-US"/>
        </w:rPr>
      </w:pPr>
      <w:r>
        <w:rPr>
          <w:rFonts w:ascii="Helvetica" w:eastAsiaTheme="minorHAnsi" w:hAnsi="Helvetica" w:cstheme="minorBidi"/>
          <w:bCs/>
          <w:color w:val="000000"/>
          <w:szCs w:val="22"/>
          <w:lang w:eastAsia="en-US"/>
        </w:rPr>
        <w:t xml:space="preserve">Miele </w:t>
      </w:r>
      <w:r w:rsidRPr="00357AB1">
        <w:rPr>
          <w:rFonts w:ascii="Helvetica" w:eastAsiaTheme="minorHAnsi" w:hAnsi="Helvetica" w:cstheme="minorBidi"/>
          <w:bCs/>
          <w:color w:val="000000"/>
          <w:szCs w:val="22"/>
          <w:lang w:eastAsia="en-US"/>
        </w:rPr>
        <w:t xml:space="preserve">präsentiert Lösungen, die Einsparungen in den </w:t>
      </w:r>
      <w:r>
        <w:rPr>
          <w:rFonts w:ascii="Helvetica" w:eastAsiaTheme="minorHAnsi" w:hAnsi="Helvetica" w:cstheme="minorBidi"/>
          <w:bCs/>
          <w:color w:val="000000"/>
          <w:szCs w:val="22"/>
          <w:lang w:eastAsia="en-US"/>
        </w:rPr>
        <w:t>Zahnarztp</w:t>
      </w:r>
      <w:r w:rsidRPr="00357AB1">
        <w:rPr>
          <w:rFonts w:ascii="Helvetica" w:eastAsiaTheme="minorHAnsi" w:hAnsi="Helvetica" w:cstheme="minorBidi"/>
          <w:bCs/>
          <w:color w:val="000000"/>
          <w:szCs w:val="22"/>
          <w:lang w:eastAsia="en-US"/>
        </w:rPr>
        <w:t xml:space="preserve">raxen ermöglichen, das Personal entlasten und wiederkehrende Arbeitsabläufe verschlanken. Erstmals sind 60 Zentimeter breite Untertischgeräte in verschiedenen Varianten verfügbar, die bis zu 24 Programme sowie fünf freie Programmplätze für individuelle Anforderungen bieten. Über eine neue Steuerung und ein komfortables Touch Display lassen sich die Desinfektoren leicht und intuitiv bedienen – auch mit Hilfe von anschaulichen Piktogrammen. Alle Modelle sind mit einer serienmäßigen Spülraumbeleuchtung ausgestattet, die die Be- und Entladung erleichtert. Während der Aufbereitung sorgt eine optionale Glastür für freie Sicht auf die Instrumente. Eine patentierte, drehzahlvariable Pumpe passt den Wasserdruck in den neuen Thermodesinfektoren bedarfsgerecht an und senkt dadurch den Verbrauch. </w:t>
      </w:r>
    </w:p>
    <w:p w14:paraId="2A94B5DA" w14:textId="77777777" w:rsidR="00357AB1" w:rsidRDefault="00357AB1" w:rsidP="00357AB1">
      <w:pPr>
        <w:overflowPunct/>
        <w:autoSpaceDE/>
        <w:autoSpaceDN/>
        <w:adjustRightInd/>
        <w:spacing w:line="300" w:lineRule="auto"/>
        <w:textAlignment w:val="auto"/>
        <w:rPr>
          <w:rFonts w:ascii="Helvetica" w:eastAsiaTheme="minorHAnsi" w:hAnsi="Helvetica" w:cstheme="minorBidi"/>
          <w:bCs/>
          <w:color w:val="000000"/>
          <w:szCs w:val="22"/>
          <w:lang w:eastAsia="en-US"/>
        </w:rPr>
      </w:pPr>
      <w:r w:rsidRPr="00357AB1">
        <w:rPr>
          <w:rFonts w:ascii="Helvetica" w:eastAsiaTheme="minorHAnsi" w:hAnsi="Helvetica" w:cstheme="minorBidi"/>
          <w:bCs/>
          <w:color w:val="000000"/>
          <w:szCs w:val="22"/>
          <w:lang w:eastAsia="en-US"/>
        </w:rPr>
        <w:t xml:space="preserve">Die neuen 65 Zentimeter breiten Thermodesinfektoren der Baureihe </w:t>
      </w:r>
      <w:proofErr w:type="spellStart"/>
      <w:r w:rsidRPr="00357AB1">
        <w:rPr>
          <w:rFonts w:ascii="Helvetica" w:eastAsiaTheme="minorHAnsi" w:hAnsi="Helvetica" w:cstheme="minorBidi"/>
          <w:bCs/>
          <w:color w:val="000000"/>
          <w:szCs w:val="22"/>
          <w:lang w:eastAsia="en-US"/>
        </w:rPr>
        <w:t>SlimLine</w:t>
      </w:r>
      <w:proofErr w:type="spellEnd"/>
      <w:r w:rsidRPr="00357AB1">
        <w:rPr>
          <w:rFonts w:ascii="Helvetica" w:eastAsiaTheme="minorHAnsi" w:hAnsi="Helvetica" w:cstheme="minorBidi"/>
          <w:bCs/>
          <w:color w:val="000000"/>
          <w:szCs w:val="22"/>
          <w:lang w:eastAsia="en-US"/>
        </w:rPr>
        <w:t xml:space="preserve"> bieten noch mehr Platz und sind ebenfalls mit der intelligenten, variablen Pumpentechnologie ausgestattet. Sie haben ein Kammervolumen von 252 Litern, eine ergonomische Beladehöhe von 85 Zentimetern und eignen sich damit optimal für den Bedarf von großen Praxen und zahnmedizinischen Versorgungszentren. Auf drei Ebenen lassen sich diese Geräte mit Modulen für alle gängigen Instrumente bestücken, etwa mit bis zu drei </w:t>
      </w:r>
      <w:proofErr w:type="spellStart"/>
      <w:r w:rsidRPr="00357AB1">
        <w:rPr>
          <w:rFonts w:ascii="Helvetica" w:eastAsiaTheme="minorHAnsi" w:hAnsi="Helvetica" w:cstheme="minorBidi"/>
          <w:bCs/>
          <w:color w:val="000000"/>
          <w:szCs w:val="22"/>
          <w:lang w:eastAsia="en-US"/>
        </w:rPr>
        <w:t>Injektormodulen</w:t>
      </w:r>
      <w:proofErr w:type="spellEnd"/>
      <w:r w:rsidRPr="00357AB1">
        <w:rPr>
          <w:rFonts w:ascii="Helvetica" w:eastAsiaTheme="minorHAnsi" w:hAnsi="Helvetica" w:cstheme="minorBidi"/>
          <w:bCs/>
          <w:color w:val="000000"/>
          <w:szCs w:val="22"/>
          <w:lang w:eastAsia="en-US"/>
        </w:rPr>
        <w:t xml:space="preserve"> für die Innenreinigung von insgesamt 66 Hohlkörperinstrumenten. Zusätzlich können in einem Programmdurchlauf beispielsweise 24 </w:t>
      </w:r>
      <w:proofErr w:type="spellStart"/>
      <w:r w:rsidRPr="00357AB1">
        <w:rPr>
          <w:rFonts w:ascii="Helvetica" w:eastAsiaTheme="minorHAnsi" w:hAnsi="Helvetica" w:cstheme="minorBidi"/>
          <w:bCs/>
          <w:color w:val="000000"/>
          <w:szCs w:val="22"/>
          <w:lang w:eastAsia="en-US"/>
        </w:rPr>
        <w:t>Dentaltrays</w:t>
      </w:r>
      <w:proofErr w:type="spellEnd"/>
      <w:r w:rsidRPr="00357AB1">
        <w:rPr>
          <w:rFonts w:ascii="Helvetica" w:eastAsiaTheme="minorHAnsi" w:hAnsi="Helvetica" w:cstheme="minorBidi"/>
          <w:bCs/>
          <w:color w:val="000000"/>
          <w:szCs w:val="22"/>
          <w:lang w:eastAsia="en-US"/>
        </w:rPr>
        <w:t xml:space="preserve"> und weitere Instrumente aufbereitet werden. </w:t>
      </w:r>
    </w:p>
    <w:p w14:paraId="7FCF97E7" w14:textId="3B82F815" w:rsidR="00357AB1" w:rsidRDefault="00357AB1" w:rsidP="00357AB1">
      <w:pPr>
        <w:overflowPunct/>
        <w:autoSpaceDE/>
        <w:autoSpaceDN/>
        <w:adjustRightInd/>
        <w:spacing w:line="300" w:lineRule="auto"/>
        <w:textAlignment w:val="auto"/>
        <w:rPr>
          <w:rFonts w:ascii="Helvetica" w:eastAsiaTheme="minorHAnsi" w:hAnsi="Helvetica" w:cstheme="minorBidi"/>
          <w:bCs/>
          <w:color w:val="000000"/>
          <w:szCs w:val="22"/>
          <w:lang w:eastAsia="en-US"/>
        </w:rPr>
      </w:pPr>
      <w:r w:rsidRPr="00357AB1">
        <w:rPr>
          <w:rFonts w:ascii="Helvetica" w:eastAsiaTheme="minorHAnsi" w:hAnsi="Helvetica" w:cstheme="minorBidi"/>
          <w:bCs/>
          <w:color w:val="000000"/>
          <w:szCs w:val="22"/>
          <w:lang w:eastAsia="en-US"/>
        </w:rPr>
        <w:t>Die Miele</w:t>
      </w:r>
      <w:r w:rsidR="00662403">
        <w:rPr>
          <w:rFonts w:ascii="Helvetica" w:eastAsiaTheme="minorHAnsi" w:hAnsi="Helvetica" w:cstheme="minorBidi"/>
          <w:bCs/>
          <w:color w:val="000000"/>
          <w:szCs w:val="22"/>
          <w:lang w:eastAsia="en-US"/>
        </w:rPr>
        <w:t xml:space="preserve"> </w:t>
      </w:r>
      <w:r w:rsidRPr="00357AB1">
        <w:rPr>
          <w:rFonts w:ascii="Helvetica" w:eastAsiaTheme="minorHAnsi" w:hAnsi="Helvetica" w:cstheme="minorBidi"/>
          <w:bCs/>
          <w:color w:val="000000"/>
          <w:szCs w:val="22"/>
          <w:lang w:eastAsia="en-US"/>
        </w:rPr>
        <w:t xml:space="preserve">Thermodesinfektoren und die Sterilisatoren der Baureihen Cube und Cube X sind vernetzbar, etwa mit dem Onlineportal Miele MOVE </w:t>
      </w:r>
      <w:proofErr w:type="spellStart"/>
      <w:r w:rsidRPr="00357AB1">
        <w:rPr>
          <w:rFonts w:ascii="Helvetica" w:eastAsiaTheme="minorHAnsi" w:hAnsi="Helvetica" w:cstheme="minorBidi"/>
          <w:bCs/>
          <w:color w:val="000000"/>
          <w:szCs w:val="22"/>
          <w:lang w:eastAsia="en-US"/>
        </w:rPr>
        <w:t>MedDent</w:t>
      </w:r>
      <w:proofErr w:type="spellEnd"/>
      <w:r w:rsidRPr="00357AB1">
        <w:rPr>
          <w:rFonts w:ascii="Helvetica" w:eastAsiaTheme="minorHAnsi" w:hAnsi="Helvetica" w:cstheme="minorBidi"/>
          <w:bCs/>
          <w:color w:val="000000"/>
          <w:szCs w:val="22"/>
          <w:lang w:eastAsia="en-US"/>
        </w:rPr>
        <w:t xml:space="preserve">+. Es vereinfacht das Gerätemanagement in Zahnarztpraxen und durch die automatische Speicherung der Aufbereitungsdaten in der Miele-Cloud auch die Prozessdokumentation. Dabei können beliebig viele Geräte angeschlossen werden und der Zugang für Mitarbeiterinnen und </w:t>
      </w:r>
      <w:r w:rsidRPr="00357AB1">
        <w:rPr>
          <w:rFonts w:ascii="Helvetica" w:eastAsiaTheme="minorHAnsi" w:hAnsi="Helvetica" w:cstheme="minorBidi"/>
          <w:bCs/>
          <w:color w:val="000000"/>
          <w:szCs w:val="22"/>
          <w:lang w:eastAsia="en-US"/>
        </w:rPr>
        <w:lastRenderedPageBreak/>
        <w:t xml:space="preserve">Mitarbeiter ist nicht limitiert. Relevante Nachrichten gehen bei Bedarf direkt auf Smartphone, Tablet oder PC ein, beispielsweise, wenn ein Gerät entladen werden kann. So lassen sich überflüssige Wege vermeiden. </w:t>
      </w:r>
    </w:p>
    <w:p w14:paraId="53082379" w14:textId="77777777" w:rsidR="00357AB1" w:rsidRDefault="00357AB1" w:rsidP="00357AB1">
      <w:pPr>
        <w:overflowPunct/>
        <w:autoSpaceDE/>
        <w:autoSpaceDN/>
        <w:adjustRightInd/>
        <w:spacing w:line="300" w:lineRule="auto"/>
        <w:textAlignment w:val="auto"/>
        <w:rPr>
          <w:rFonts w:ascii="Helvetica" w:eastAsiaTheme="minorHAnsi" w:hAnsi="Helvetica" w:cstheme="minorBidi"/>
          <w:bCs/>
          <w:color w:val="000000"/>
          <w:szCs w:val="22"/>
          <w:lang w:eastAsia="en-US"/>
        </w:rPr>
      </w:pPr>
      <w:r w:rsidRPr="00357AB1">
        <w:rPr>
          <w:rFonts w:ascii="Helvetica" w:eastAsiaTheme="minorHAnsi" w:hAnsi="Helvetica" w:cstheme="minorBidi"/>
          <w:bCs/>
          <w:color w:val="000000"/>
          <w:szCs w:val="22"/>
          <w:lang w:eastAsia="en-US"/>
        </w:rPr>
        <w:t xml:space="preserve">Für mehr Effizienz in jeder Phase der Aufbereitung bietet Miele das neue Tray- und Containersystem </w:t>
      </w:r>
      <w:proofErr w:type="spellStart"/>
      <w:r w:rsidRPr="00357AB1">
        <w:rPr>
          <w:rFonts w:ascii="Helvetica" w:eastAsiaTheme="minorHAnsi" w:hAnsi="Helvetica" w:cstheme="minorBidi"/>
          <w:bCs/>
          <w:color w:val="000000"/>
          <w:szCs w:val="22"/>
          <w:lang w:eastAsia="en-US"/>
        </w:rPr>
        <w:t>EasyStore</w:t>
      </w:r>
      <w:proofErr w:type="spellEnd"/>
      <w:r w:rsidRPr="00357AB1">
        <w:rPr>
          <w:rFonts w:ascii="Helvetica" w:eastAsiaTheme="minorHAnsi" w:hAnsi="Helvetica" w:cstheme="minorBidi"/>
          <w:bCs/>
          <w:color w:val="000000"/>
          <w:szCs w:val="22"/>
          <w:lang w:eastAsia="en-US"/>
        </w:rPr>
        <w:t xml:space="preserve"> an. Alle Bestandteile sind aufeinander abgestimmt und ermöglichen eine schnelle, kostensparende und nachhaltige Aufbereitung. Bei konsequenter Nutzung des Systems entfällt die aufwendige Platzierung von einzelnen Instrumenten im Gerät. Dies sorgt vor allem in der Vorbereitung auf die Sterilisation für eine hohe Zeitersparnis. Darüber hinaus sinken die Kosten für Einwegverpackungen deutlich. </w:t>
      </w:r>
    </w:p>
    <w:p w14:paraId="4E6BEF4E" w14:textId="5A037E10" w:rsidR="00C21E06" w:rsidRPr="00357AB1" w:rsidRDefault="00357AB1" w:rsidP="00357AB1">
      <w:pPr>
        <w:overflowPunct/>
        <w:autoSpaceDE/>
        <w:autoSpaceDN/>
        <w:adjustRightInd/>
        <w:spacing w:line="300" w:lineRule="auto"/>
        <w:textAlignment w:val="auto"/>
        <w:rPr>
          <w:rFonts w:ascii="Helvetica" w:hAnsi="Helvetica" w:cs="Arial"/>
          <w:bCs/>
          <w:color w:val="000000"/>
          <w:szCs w:val="22"/>
          <w:lang w:eastAsia="zh-TW"/>
        </w:rPr>
      </w:pPr>
      <w:r w:rsidRPr="00357AB1">
        <w:rPr>
          <w:rFonts w:ascii="Helvetica" w:eastAsiaTheme="minorHAnsi" w:hAnsi="Helvetica" w:cstheme="minorBidi"/>
          <w:bCs/>
          <w:color w:val="000000"/>
          <w:szCs w:val="22"/>
          <w:lang w:eastAsia="en-US"/>
        </w:rPr>
        <w:t xml:space="preserve">Mit einem optimierten Portfolio an Prozesschemikalien, das auf die Anforderungen der einzelnen Geräte und Aufbereitungsphasen abgestimmt ist, rundet Miele seine Systemlösung für Zahnarztpraxen und zahnmedizinische Versorgungszentren ab. Zum System </w:t>
      </w:r>
      <w:proofErr w:type="spellStart"/>
      <w:r w:rsidRPr="00357AB1">
        <w:rPr>
          <w:rFonts w:ascii="Helvetica" w:eastAsiaTheme="minorHAnsi" w:hAnsi="Helvetica" w:cstheme="minorBidi"/>
          <w:bCs/>
          <w:color w:val="000000"/>
          <w:szCs w:val="22"/>
          <w:lang w:eastAsia="en-US"/>
        </w:rPr>
        <w:t>ProCare</w:t>
      </w:r>
      <w:proofErr w:type="spellEnd"/>
      <w:r w:rsidRPr="00357AB1">
        <w:rPr>
          <w:rFonts w:ascii="Helvetica" w:eastAsiaTheme="minorHAnsi" w:hAnsi="Helvetica" w:cstheme="minorBidi"/>
          <w:bCs/>
          <w:color w:val="000000"/>
          <w:szCs w:val="22"/>
          <w:lang w:eastAsia="en-US"/>
        </w:rPr>
        <w:t xml:space="preserve"> </w:t>
      </w:r>
      <w:proofErr w:type="spellStart"/>
      <w:r w:rsidRPr="00357AB1">
        <w:rPr>
          <w:rFonts w:ascii="Helvetica" w:eastAsiaTheme="minorHAnsi" w:hAnsi="Helvetica" w:cstheme="minorBidi"/>
          <w:bCs/>
          <w:color w:val="000000"/>
          <w:szCs w:val="22"/>
          <w:lang w:eastAsia="en-US"/>
        </w:rPr>
        <w:t>Dent</w:t>
      </w:r>
      <w:proofErr w:type="spellEnd"/>
      <w:r w:rsidRPr="00357AB1">
        <w:rPr>
          <w:rFonts w:ascii="Helvetica" w:eastAsiaTheme="minorHAnsi" w:hAnsi="Helvetica" w:cstheme="minorBidi"/>
          <w:bCs/>
          <w:color w:val="000000"/>
          <w:szCs w:val="22"/>
          <w:lang w:eastAsia="en-US"/>
        </w:rPr>
        <w:t xml:space="preserve"> gehört ein mildalkalischer Flüssigreiniger, der für die Entfernung von Rückständen auch an Übertragungsinstrumenten geeignet ist und dessen Rezeptur entscheidend verbessert wird – bei gleichbleibender Zuverlässigkeit und leichter Handhabung.</w:t>
      </w:r>
    </w:p>
    <w:p w14:paraId="68D2D3A8" w14:textId="77777777" w:rsidR="00C21E06" w:rsidRP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p>
    <w:p w14:paraId="26381966" w14:textId="77777777" w:rsidR="00767E90" w:rsidRDefault="00767E90" w:rsidP="00767E90">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5A8694BB" w14:textId="77777777" w:rsidR="008539A0" w:rsidRPr="008539A0" w:rsidRDefault="00767E90" w:rsidP="008539A0">
      <w:pPr>
        <w:pStyle w:val="StandardWeb"/>
        <w:spacing w:line="300" w:lineRule="auto"/>
        <w:rPr>
          <w:rFonts w:ascii="Helvetica" w:eastAsia="Times New Roman" w:hAnsi="Helvetica" w:cs="Helvetica"/>
          <w:szCs w:val="20"/>
        </w:rPr>
      </w:pPr>
      <w:r w:rsidRPr="008E3F73">
        <w:rPr>
          <w:rStyle w:val="Fett"/>
          <w:rFonts w:ascii="Arial" w:eastAsia="Times New Roman" w:hAnsi="Arial" w:cs="Times New Roman"/>
          <w:b w:val="0"/>
          <w:bCs w:val="0"/>
        </w:rPr>
        <w:br/>
      </w:r>
      <w:r w:rsidR="008539A0" w:rsidRPr="008539A0">
        <w:rPr>
          <w:rFonts w:ascii="Helvetica" w:eastAsia="Times New Roman" w:hAnsi="Helvetica" w:cs="Helvetica"/>
          <w:b/>
          <w:bCs/>
          <w:szCs w:val="20"/>
        </w:rPr>
        <w:t>Über das Unternehmen: </w:t>
      </w:r>
      <w:r w:rsidR="008539A0" w:rsidRPr="008539A0">
        <w:rPr>
          <w:rFonts w:ascii="Helvetica" w:eastAsia="Times New Roman" w:hAnsi="Helvetica" w:cs="Helvetica"/>
          <w:szCs w:val="20"/>
        </w:rPr>
        <w:t xml:space="preserve">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w:t>
      </w:r>
      <w:proofErr w:type="spellStart"/>
      <w:r w:rsidR="008539A0" w:rsidRPr="008539A0">
        <w:rPr>
          <w:rFonts w:ascii="Helvetica" w:eastAsia="Times New Roman" w:hAnsi="Helvetica" w:cs="Helvetica"/>
          <w:szCs w:val="20"/>
        </w:rPr>
        <w:t>Besser</w:t>
      </w:r>
      <w:proofErr w:type="spellEnd"/>
      <w:r w:rsidR="008539A0" w:rsidRPr="008539A0">
        <w:rPr>
          <w:rFonts w:ascii="Helvetica" w:eastAsia="Times New Roman" w:hAnsi="Helvetica" w:cs="Helvetica"/>
          <w:szCs w:val="20"/>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008539A0" w:rsidRPr="008539A0">
        <w:rPr>
          <w:rFonts w:ascii="Helvetica" w:eastAsia="Times New Roman" w:hAnsi="Helvetica" w:cs="Helvetica"/>
          <w:szCs w:val="20"/>
        </w:rPr>
        <w:t>Zinkann</w:t>
      </w:r>
      <w:proofErr w:type="spellEnd"/>
      <w:r w:rsidR="008539A0" w:rsidRPr="008539A0">
        <w:rPr>
          <w:rFonts w:ascii="Helvetica" w:eastAsia="Times New Roman" w:hAnsi="Helvetica" w:cs="Helvetica"/>
          <w:szCs w:val="20"/>
        </w:rPr>
        <w:t xml:space="preserve"> und unterhält 15 Produktionsstandorte, davon acht in Deutschland. Weltweit arbeiten etwa 23.500 Menschen für Miele; der Umsatz 2024 betrug 5,04 Mrd. Euro. Hauptsitz ist Gütersloh in Westfalen.</w:t>
      </w:r>
    </w:p>
    <w:p w14:paraId="7804BCF2" w14:textId="77777777" w:rsidR="008539A0" w:rsidRPr="008539A0" w:rsidRDefault="008539A0" w:rsidP="008539A0">
      <w:pPr>
        <w:pStyle w:val="StandardWeb"/>
        <w:rPr>
          <w:rFonts w:ascii="Helvetica" w:hAnsi="Helvetica" w:cs="Helvetica"/>
        </w:rPr>
      </w:pPr>
      <w:r w:rsidRPr="008539A0">
        <w:rPr>
          <w:rFonts w:ascii="Helvetica" w:hAnsi="Helvetica" w:cs="Helvetica"/>
        </w:rPr>
        <w:t>Miele Österreich wurde 1955 gegründet und erreichte 2024 inklusive Werk Bürmoos einen Umsatz von rund 280 Mio. Euro und beschäftigt rd. 700 Mitarbeitende.</w:t>
      </w:r>
    </w:p>
    <w:p w14:paraId="114FE128" w14:textId="68D18925" w:rsidR="00D51A7C" w:rsidRDefault="00D51A7C" w:rsidP="008539A0">
      <w:pPr>
        <w:pStyle w:val="StandardWeb"/>
        <w:spacing w:line="300" w:lineRule="auto"/>
        <w:rPr>
          <w:rFonts w:ascii="Helvetica" w:eastAsia="Times New Roman" w:hAnsi="Helvetica" w:cs="Helvetica"/>
          <w:szCs w:val="20"/>
        </w:rPr>
      </w:pPr>
    </w:p>
    <w:p w14:paraId="5CE4B9AC" w14:textId="6ED6DBDE" w:rsidR="00DF611F" w:rsidRDefault="00357AB1" w:rsidP="00597697">
      <w:pPr>
        <w:pStyle w:val="StandardWeb"/>
        <w:spacing w:before="0" w:beforeAutospacing="0" w:line="300" w:lineRule="auto"/>
        <w:rPr>
          <w:rFonts w:ascii="Helvetica" w:hAnsi="Helvetica"/>
          <w:b/>
        </w:rPr>
      </w:pPr>
      <w:r>
        <w:rPr>
          <w:rFonts w:ascii="Helvetica" w:hAnsi="Helvetica"/>
          <w:b/>
        </w:rPr>
        <w:lastRenderedPageBreak/>
        <w:br/>
      </w:r>
      <w:r w:rsidR="00597697">
        <w:rPr>
          <w:rFonts w:ascii="Helvetica" w:hAnsi="Helvetica"/>
          <w:b/>
        </w:rPr>
        <w:t>Z</w:t>
      </w:r>
      <w:r w:rsidR="00DF611F">
        <w:rPr>
          <w:rFonts w:ascii="Helvetica" w:hAnsi="Helvetica"/>
          <w:b/>
        </w:rPr>
        <w:t xml:space="preserve">u diesem Text gibt es </w:t>
      </w:r>
      <w:r>
        <w:rPr>
          <w:rFonts w:ascii="Helvetica" w:hAnsi="Helvetica"/>
          <w:b/>
        </w:rPr>
        <w:t xml:space="preserve">drei </w:t>
      </w:r>
      <w:r w:rsidR="00DF611F">
        <w:rPr>
          <w:rFonts w:ascii="Helvetica" w:hAnsi="Helvetica"/>
          <w:b/>
        </w:rPr>
        <w:t>Fotos</w:t>
      </w:r>
      <w:r w:rsidR="00597697">
        <w:rPr>
          <w:rFonts w:ascii="Helvetica" w:hAnsi="Helvetica"/>
          <w:b/>
        </w:rPr>
        <w:t>:</w:t>
      </w:r>
    </w:p>
    <w:p w14:paraId="4DB3EDAD" w14:textId="3AC025FA" w:rsidR="00DF611F" w:rsidRPr="008E4C04" w:rsidRDefault="00357AB1" w:rsidP="00025C03">
      <w:pPr>
        <w:overflowPunct/>
        <w:autoSpaceDE/>
        <w:autoSpaceDN/>
        <w:adjustRightInd/>
        <w:spacing w:line="300" w:lineRule="auto"/>
        <w:textAlignment w:val="auto"/>
        <w:rPr>
          <w:rFonts w:ascii="Helvetica" w:hAnsi="Helvetica"/>
        </w:rPr>
      </w:pPr>
      <w:r w:rsidRPr="00357AB1">
        <w:rPr>
          <w:rFonts w:ascii="Helvetica" w:hAnsi="Helvetica"/>
          <w:b/>
          <w:bCs/>
          <w:noProof/>
        </w:rPr>
        <w:drawing>
          <wp:anchor distT="0" distB="0" distL="114300" distR="114300" simplePos="0" relativeHeight="251658240" behindDoc="1" locked="0" layoutInCell="1" allowOverlap="1" wp14:anchorId="43CEEC3C" wp14:editId="5C25BFA5">
            <wp:simplePos x="0" y="0"/>
            <wp:positionH relativeFrom="column">
              <wp:posOffset>-4445</wp:posOffset>
            </wp:positionH>
            <wp:positionV relativeFrom="paragraph">
              <wp:posOffset>-1905</wp:posOffset>
            </wp:positionV>
            <wp:extent cx="1286054" cy="952633"/>
            <wp:effectExtent l="0" t="0" r="0" b="0"/>
            <wp:wrapTight wrapText="bothSides">
              <wp:wrapPolygon edited="0">
                <wp:start x="0" y="0"/>
                <wp:lineTo x="0" y="21168"/>
                <wp:lineTo x="21120" y="21168"/>
                <wp:lineTo x="21120" y="0"/>
                <wp:lineTo x="0" y="0"/>
              </wp:wrapPolygon>
            </wp:wrapTight>
            <wp:docPr id="12600225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22533" name=""/>
                    <pic:cNvPicPr/>
                  </pic:nvPicPr>
                  <pic:blipFill>
                    <a:blip r:embed="rId12">
                      <a:extLst>
                        <a:ext uri="{28A0092B-C50C-407E-A947-70E740481C1C}">
                          <a14:useLocalDpi xmlns:a14="http://schemas.microsoft.com/office/drawing/2010/main" val="0"/>
                        </a:ext>
                      </a:extLst>
                    </a:blip>
                    <a:stretch>
                      <a:fillRect/>
                    </a:stretch>
                  </pic:blipFill>
                  <pic:spPr>
                    <a:xfrm>
                      <a:off x="0" y="0"/>
                      <a:ext cx="1286054" cy="952633"/>
                    </a:xfrm>
                    <a:prstGeom prst="rect">
                      <a:avLst/>
                    </a:prstGeom>
                  </pic:spPr>
                </pic:pic>
              </a:graphicData>
            </a:graphic>
          </wp:anchor>
        </w:drawing>
      </w:r>
      <w:r w:rsidR="00DF611F">
        <w:rPr>
          <w:rFonts w:ascii="Helvetica" w:hAnsi="Helvetica"/>
          <w:b/>
          <w:bCs/>
        </w:rPr>
        <w:t xml:space="preserve">Foto 1: </w:t>
      </w:r>
      <w:r w:rsidRPr="00357AB1">
        <w:rPr>
          <w:rFonts w:ascii="Helvetica" w:hAnsi="Helvetica"/>
        </w:rPr>
        <w:t>Alle Instrumente im Blick: Ein neuer Thermodesinfektor von Miele mit Kammerbeleuchtung sowie praktischem Tray- und Containersystem.</w:t>
      </w:r>
      <w:r>
        <w:rPr>
          <w:rFonts w:ascii="Helvetica" w:hAnsi="Helvetica"/>
        </w:rPr>
        <w:t xml:space="preserve"> </w:t>
      </w:r>
      <w:r w:rsidR="008E4C04" w:rsidRPr="008E4C04">
        <w:rPr>
          <w:rFonts w:ascii="Helvetica" w:hAnsi="Helvetica"/>
        </w:rPr>
        <w:t xml:space="preserve">Foto: </w:t>
      </w:r>
      <w:r>
        <w:rPr>
          <w:rFonts w:ascii="Helvetica" w:hAnsi="Helvetica"/>
        </w:rPr>
        <w:t>(</w:t>
      </w:r>
      <w:r w:rsidR="008E4C04" w:rsidRPr="008E4C04">
        <w:rPr>
          <w:rFonts w:ascii="Helvetica" w:hAnsi="Helvetica"/>
        </w:rPr>
        <w:t>Miele)</w:t>
      </w:r>
    </w:p>
    <w:p w14:paraId="13977289" w14:textId="77777777" w:rsidR="00025C03" w:rsidRDefault="00025C03" w:rsidP="00025C03">
      <w:pPr>
        <w:overflowPunct/>
        <w:autoSpaceDE/>
        <w:autoSpaceDN/>
        <w:adjustRightInd/>
        <w:spacing w:line="300" w:lineRule="auto"/>
        <w:textAlignment w:val="auto"/>
        <w:rPr>
          <w:rFonts w:ascii="Helvetica" w:hAnsi="Helvetica"/>
          <w:b/>
          <w:bCs/>
        </w:rPr>
      </w:pPr>
    </w:p>
    <w:p w14:paraId="60BF3D51" w14:textId="4652412D" w:rsidR="003A0F10" w:rsidRPr="00357AB1" w:rsidRDefault="00357AB1" w:rsidP="00025C03">
      <w:pPr>
        <w:overflowPunct/>
        <w:autoSpaceDE/>
        <w:autoSpaceDN/>
        <w:adjustRightInd/>
        <w:spacing w:line="300" w:lineRule="auto"/>
        <w:textAlignment w:val="auto"/>
        <w:rPr>
          <w:rFonts w:ascii="Helvetica" w:hAnsi="Helvetica"/>
        </w:rPr>
      </w:pPr>
      <w:r w:rsidRPr="00357AB1">
        <w:rPr>
          <w:rFonts w:ascii="Helvetica" w:hAnsi="Helvetica"/>
          <w:b/>
          <w:bCs/>
          <w:noProof/>
        </w:rPr>
        <w:drawing>
          <wp:anchor distT="0" distB="0" distL="114300" distR="114300" simplePos="0" relativeHeight="251659264" behindDoc="1" locked="0" layoutInCell="1" allowOverlap="1" wp14:anchorId="347CBC05" wp14:editId="66DC51AA">
            <wp:simplePos x="0" y="0"/>
            <wp:positionH relativeFrom="column">
              <wp:posOffset>-4445</wp:posOffset>
            </wp:positionH>
            <wp:positionV relativeFrom="paragraph">
              <wp:posOffset>156845</wp:posOffset>
            </wp:positionV>
            <wp:extent cx="1267002" cy="943107"/>
            <wp:effectExtent l="0" t="0" r="9525" b="9525"/>
            <wp:wrapTight wrapText="bothSides">
              <wp:wrapPolygon edited="0">
                <wp:start x="0" y="0"/>
                <wp:lineTo x="0" y="21382"/>
                <wp:lineTo x="21438" y="21382"/>
                <wp:lineTo x="21438" y="0"/>
                <wp:lineTo x="0" y="0"/>
              </wp:wrapPolygon>
            </wp:wrapTight>
            <wp:docPr id="8023167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16754" name=""/>
                    <pic:cNvPicPr/>
                  </pic:nvPicPr>
                  <pic:blipFill>
                    <a:blip r:embed="rId13">
                      <a:extLst>
                        <a:ext uri="{28A0092B-C50C-407E-A947-70E740481C1C}">
                          <a14:useLocalDpi xmlns:a14="http://schemas.microsoft.com/office/drawing/2010/main" val="0"/>
                        </a:ext>
                      </a:extLst>
                    </a:blip>
                    <a:stretch>
                      <a:fillRect/>
                    </a:stretch>
                  </pic:blipFill>
                  <pic:spPr>
                    <a:xfrm>
                      <a:off x="0" y="0"/>
                      <a:ext cx="1267002" cy="943107"/>
                    </a:xfrm>
                    <a:prstGeom prst="rect">
                      <a:avLst/>
                    </a:prstGeom>
                  </pic:spPr>
                </pic:pic>
              </a:graphicData>
            </a:graphic>
          </wp:anchor>
        </w:drawing>
      </w:r>
      <w:r w:rsidR="00DF611F">
        <w:rPr>
          <w:rFonts w:ascii="Helvetica" w:hAnsi="Helvetica"/>
          <w:b/>
          <w:bCs/>
        </w:rPr>
        <w:t xml:space="preserve">Foto 2: </w:t>
      </w:r>
      <w:r w:rsidRPr="00357AB1">
        <w:rPr>
          <w:rFonts w:ascii="Helvetica" w:hAnsi="Helvetica"/>
          <w:b/>
          <w:bCs/>
        </w:rPr>
        <w:t xml:space="preserve"> </w:t>
      </w:r>
      <w:r w:rsidRPr="00357AB1">
        <w:rPr>
          <w:rFonts w:ascii="Helvetica" w:hAnsi="Helvetica"/>
        </w:rPr>
        <w:t xml:space="preserve">Drei Ebenen für die Aufbereitung von Instrumentensets, Siebschalen und Trays: Thermodesinfektoren der Baureihe </w:t>
      </w:r>
      <w:proofErr w:type="spellStart"/>
      <w:r w:rsidRPr="00357AB1">
        <w:rPr>
          <w:rFonts w:ascii="Helvetica" w:hAnsi="Helvetica"/>
        </w:rPr>
        <w:t>SlimLine</w:t>
      </w:r>
      <w:proofErr w:type="spellEnd"/>
      <w:r w:rsidRPr="00357AB1">
        <w:rPr>
          <w:rFonts w:ascii="Helvetica" w:hAnsi="Helvetica"/>
        </w:rPr>
        <w:t xml:space="preserve"> lassen sich flexibel mit Modulen für alle gängigen Instrumente bestücken, etwa mit bis zu drei </w:t>
      </w:r>
      <w:proofErr w:type="spellStart"/>
      <w:r w:rsidRPr="00357AB1">
        <w:rPr>
          <w:rFonts w:ascii="Helvetica" w:hAnsi="Helvetica"/>
        </w:rPr>
        <w:t>Injektormodulen</w:t>
      </w:r>
      <w:proofErr w:type="spellEnd"/>
      <w:r w:rsidRPr="00357AB1">
        <w:rPr>
          <w:rFonts w:ascii="Helvetica" w:hAnsi="Helvetica"/>
        </w:rPr>
        <w:t xml:space="preserve"> für die Innenreinigung von insgesamt 66 Hohlkörperinstrumenten. (Foto: Miele)</w:t>
      </w:r>
    </w:p>
    <w:p w14:paraId="0B78F619" w14:textId="4124EA2B" w:rsidR="008E4C04" w:rsidRDefault="00357AB1" w:rsidP="00025C03">
      <w:pPr>
        <w:overflowPunct/>
        <w:autoSpaceDE/>
        <w:autoSpaceDN/>
        <w:adjustRightInd/>
        <w:spacing w:line="300" w:lineRule="auto"/>
        <w:textAlignment w:val="auto"/>
        <w:rPr>
          <w:rFonts w:ascii="Helvetica" w:hAnsi="Helvetica"/>
        </w:rPr>
      </w:pPr>
      <w:r w:rsidRPr="00357AB1">
        <w:rPr>
          <w:rFonts w:ascii="Helvetica" w:hAnsi="Helvetica"/>
          <w:b/>
          <w:bCs/>
          <w:noProof/>
        </w:rPr>
        <w:drawing>
          <wp:anchor distT="0" distB="0" distL="114300" distR="114300" simplePos="0" relativeHeight="251660288" behindDoc="1" locked="0" layoutInCell="1" allowOverlap="1" wp14:anchorId="20D74270" wp14:editId="5B0D3A2B">
            <wp:simplePos x="0" y="0"/>
            <wp:positionH relativeFrom="margin">
              <wp:posOffset>-47625</wp:posOffset>
            </wp:positionH>
            <wp:positionV relativeFrom="paragraph">
              <wp:posOffset>162560</wp:posOffset>
            </wp:positionV>
            <wp:extent cx="1305107" cy="981212"/>
            <wp:effectExtent l="0" t="0" r="9525" b="9525"/>
            <wp:wrapTight wrapText="bothSides">
              <wp:wrapPolygon edited="0">
                <wp:start x="0" y="0"/>
                <wp:lineTo x="0" y="21390"/>
                <wp:lineTo x="21442" y="21390"/>
                <wp:lineTo x="21442" y="0"/>
                <wp:lineTo x="0" y="0"/>
              </wp:wrapPolygon>
            </wp:wrapTight>
            <wp:docPr id="5604755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75570" name=""/>
                    <pic:cNvPicPr/>
                  </pic:nvPicPr>
                  <pic:blipFill>
                    <a:blip r:embed="rId14">
                      <a:extLst>
                        <a:ext uri="{28A0092B-C50C-407E-A947-70E740481C1C}">
                          <a14:useLocalDpi xmlns:a14="http://schemas.microsoft.com/office/drawing/2010/main" val="0"/>
                        </a:ext>
                      </a:extLst>
                    </a:blip>
                    <a:stretch>
                      <a:fillRect/>
                    </a:stretch>
                  </pic:blipFill>
                  <pic:spPr>
                    <a:xfrm>
                      <a:off x="0" y="0"/>
                      <a:ext cx="1305107" cy="981212"/>
                    </a:xfrm>
                    <a:prstGeom prst="rect">
                      <a:avLst/>
                    </a:prstGeom>
                  </pic:spPr>
                </pic:pic>
              </a:graphicData>
            </a:graphic>
          </wp:anchor>
        </w:drawing>
      </w:r>
      <w:r w:rsidRPr="00357AB1">
        <w:rPr>
          <w:b/>
          <w:bCs/>
        </w:rPr>
        <w:t>Foto 3:</w:t>
      </w:r>
      <w:r>
        <w:t xml:space="preserve"> Komfortables Touch-Display der Untertischgeräte: Es ist intuitiv bedienbar und das Praxispersonal erhält hier eine digitale Unterstützung bei Routinearbeiten – mit Hilfe von anschaulichen Piktogrammen, die „Hilfe zur Selbsthilfe“ leisten und Ausfallzeiten reduzieren können. (Foto: Miele)</w:t>
      </w:r>
    </w:p>
    <w:sectPr w:rsidR="008E4C04" w:rsidSect="00301AD9">
      <w:headerReference w:type="default" r:id="rId15"/>
      <w:footerReference w:type="default" r:id="rId16"/>
      <w:headerReference w:type="first" r:id="rId17"/>
      <w:footerReference w:type="first" r:id="rId18"/>
      <w:pgSz w:w="11906" w:h="16838"/>
      <w:pgMar w:top="1417" w:right="1274"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DF36" w14:textId="77777777" w:rsidR="00DD2E33" w:rsidRDefault="00DD2E33" w:rsidP="000D0B3F">
      <w:pPr>
        <w:spacing w:before="0"/>
      </w:pPr>
      <w:r>
        <w:separator/>
      </w:r>
    </w:p>
  </w:endnote>
  <w:endnote w:type="continuationSeparator" w:id="0">
    <w:p w14:paraId="549148F8" w14:textId="77777777" w:rsidR="00DD2E33" w:rsidRDefault="00DD2E33"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6444E57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8539A0"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7EF3164"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8539A0"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CC9" w14:textId="77777777" w:rsidR="00DD2E33" w:rsidRDefault="00DD2E33" w:rsidP="000D0B3F">
      <w:pPr>
        <w:spacing w:before="0"/>
      </w:pPr>
      <w:r>
        <w:separator/>
      </w:r>
    </w:p>
  </w:footnote>
  <w:footnote w:type="continuationSeparator" w:id="0">
    <w:p w14:paraId="57038386" w14:textId="77777777" w:rsidR="00DD2E33" w:rsidRDefault="00DD2E33"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1370516459" name="Grafik 137051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1243193394" name="Grafik 124319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D12"/>
    <w:multiLevelType w:val="hybridMultilevel"/>
    <w:tmpl w:val="54FCCBCC"/>
    <w:lvl w:ilvl="0" w:tplc="181664E0">
      <w:numFmt w:val="bullet"/>
      <w:lvlText w:val=""/>
      <w:lvlJc w:val="left"/>
      <w:pPr>
        <w:ind w:left="720" w:hanging="360"/>
      </w:pPr>
      <w:rPr>
        <w:rFonts w:ascii="Symbol" w:eastAsia="Times New Roman"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F2632"/>
    <w:multiLevelType w:val="hybridMultilevel"/>
    <w:tmpl w:val="ED767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2"/>
  </w:num>
  <w:num w:numId="2" w16cid:durableId="982588762">
    <w:abstractNumId w:val="3"/>
  </w:num>
  <w:num w:numId="3" w16cid:durableId="1218321156">
    <w:abstractNumId w:val="0"/>
  </w:num>
  <w:num w:numId="4" w16cid:durableId="147806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652C"/>
    <w:rsid w:val="0000726A"/>
    <w:rsid w:val="00010CEB"/>
    <w:rsid w:val="0002085E"/>
    <w:rsid w:val="00022EA6"/>
    <w:rsid w:val="00025C03"/>
    <w:rsid w:val="000312A8"/>
    <w:rsid w:val="00033709"/>
    <w:rsid w:val="000345BF"/>
    <w:rsid w:val="0004404D"/>
    <w:rsid w:val="0005407E"/>
    <w:rsid w:val="00055EDD"/>
    <w:rsid w:val="00056C15"/>
    <w:rsid w:val="00067813"/>
    <w:rsid w:val="00073FE8"/>
    <w:rsid w:val="00074505"/>
    <w:rsid w:val="000760AF"/>
    <w:rsid w:val="00081B9D"/>
    <w:rsid w:val="000849A5"/>
    <w:rsid w:val="00091656"/>
    <w:rsid w:val="00096DCC"/>
    <w:rsid w:val="000A0D94"/>
    <w:rsid w:val="000B498E"/>
    <w:rsid w:val="000D0B3F"/>
    <w:rsid w:val="000D1505"/>
    <w:rsid w:val="000E22E2"/>
    <w:rsid w:val="000E234C"/>
    <w:rsid w:val="000E2D52"/>
    <w:rsid w:val="000E65D1"/>
    <w:rsid w:val="000F0644"/>
    <w:rsid w:val="000F68E1"/>
    <w:rsid w:val="00105AB7"/>
    <w:rsid w:val="001064CA"/>
    <w:rsid w:val="001129B3"/>
    <w:rsid w:val="001140B8"/>
    <w:rsid w:val="00134763"/>
    <w:rsid w:val="00150050"/>
    <w:rsid w:val="00153892"/>
    <w:rsid w:val="001571E1"/>
    <w:rsid w:val="00165B7D"/>
    <w:rsid w:val="0016701C"/>
    <w:rsid w:val="00181CD4"/>
    <w:rsid w:val="00187D02"/>
    <w:rsid w:val="00195A0B"/>
    <w:rsid w:val="001960A7"/>
    <w:rsid w:val="001D3128"/>
    <w:rsid w:val="001D31E7"/>
    <w:rsid w:val="001D4428"/>
    <w:rsid w:val="001D6D7D"/>
    <w:rsid w:val="001E40DF"/>
    <w:rsid w:val="001E77E8"/>
    <w:rsid w:val="001F50E7"/>
    <w:rsid w:val="001F6D35"/>
    <w:rsid w:val="00210BA9"/>
    <w:rsid w:val="00216550"/>
    <w:rsid w:val="00217453"/>
    <w:rsid w:val="00221DBA"/>
    <w:rsid w:val="00222DB6"/>
    <w:rsid w:val="0022513E"/>
    <w:rsid w:val="002301D9"/>
    <w:rsid w:val="00230A7E"/>
    <w:rsid w:val="00237B1C"/>
    <w:rsid w:val="00242CE2"/>
    <w:rsid w:val="0026739D"/>
    <w:rsid w:val="00272028"/>
    <w:rsid w:val="00274C64"/>
    <w:rsid w:val="00281EB0"/>
    <w:rsid w:val="00285079"/>
    <w:rsid w:val="00286ADE"/>
    <w:rsid w:val="002A6C8D"/>
    <w:rsid w:val="002B34C1"/>
    <w:rsid w:val="002B50C0"/>
    <w:rsid w:val="002B5FA7"/>
    <w:rsid w:val="002B701F"/>
    <w:rsid w:val="002B7DF1"/>
    <w:rsid w:val="002C478E"/>
    <w:rsid w:val="002C4F05"/>
    <w:rsid w:val="002E2F49"/>
    <w:rsid w:val="00301AD9"/>
    <w:rsid w:val="003136D1"/>
    <w:rsid w:val="00322578"/>
    <w:rsid w:val="00326515"/>
    <w:rsid w:val="0032681B"/>
    <w:rsid w:val="0033036F"/>
    <w:rsid w:val="00332A07"/>
    <w:rsid w:val="0034292A"/>
    <w:rsid w:val="00350B5A"/>
    <w:rsid w:val="00357AB1"/>
    <w:rsid w:val="003640FB"/>
    <w:rsid w:val="00373553"/>
    <w:rsid w:val="00377E84"/>
    <w:rsid w:val="00380B2F"/>
    <w:rsid w:val="003A0F10"/>
    <w:rsid w:val="003B3D40"/>
    <w:rsid w:val="003C036A"/>
    <w:rsid w:val="003C1E8A"/>
    <w:rsid w:val="003C2865"/>
    <w:rsid w:val="003D6005"/>
    <w:rsid w:val="003E0092"/>
    <w:rsid w:val="003E2CA8"/>
    <w:rsid w:val="003F13D6"/>
    <w:rsid w:val="003F17B5"/>
    <w:rsid w:val="003F5E75"/>
    <w:rsid w:val="003F75F5"/>
    <w:rsid w:val="00406264"/>
    <w:rsid w:val="0040769C"/>
    <w:rsid w:val="0041052E"/>
    <w:rsid w:val="0041213C"/>
    <w:rsid w:val="00412C7F"/>
    <w:rsid w:val="00416EC2"/>
    <w:rsid w:val="004228D5"/>
    <w:rsid w:val="00423762"/>
    <w:rsid w:val="00426C65"/>
    <w:rsid w:val="00444EC9"/>
    <w:rsid w:val="0044796A"/>
    <w:rsid w:val="00461A22"/>
    <w:rsid w:val="00461F04"/>
    <w:rsid w:val="00466E11"/>
    <w:rsid w:val="00467BC9"/>
    <w:rsid w:val="0047401C"/>
    <w:rsid w:val="00474994"/>
    <w:rsid w:val="00483131"/>
    <w:rsid w:val="00484756"/>
    <w:rsid w:val="00490F46"/>
    <w:rsid w:val="00497A5E"/>
    <w:rsid w:val="004A3BB4"/>
    <w:rsid w:val="004A7DD9"/>
    <w:rsid w:val="004B7505"/>
    <w:rsid w:val="004C1F20"/>
    <w:rsid w:val="004C2291"/>
    <w:rsid w:val="004C2676"/>
    <w:rsid w:val="004C2B8F"/>
    <w:rsid w:val="004D79D7"/>
    <w:rsid w:val="004E32E8"/>
    <w:rsid w:val="004F2590"/>
    <w:rsid w:val="004F3FDD"/>
    <w:rsid w:val="0051196C"/>
    <w:rsid w:val="00512946"/>
    <w:rsid w:val="0051676A"/>
    <w:rsid w:val="00517CE7"/>
    <w:rsid w:val="00523BA6"/>
    <w:rsid w:val="005413A4"/>
    <w:rsid w:val="0054414D"/>
    <w:rsid w:val="0055533D"/>
    <w:rsid w:val="0056020F"/>
    <w:rsid w:val="0056241D"/>
    <w:rsid w:val="005706D3"/>
    <w:rsid w:val="00580EE7"/>
    <w:rsid w:val="00587635"/>
    <w:rsid w:val="005907C2"/>
    <w:rsid w:val="00597416"/>
    <w:rsid w:val="00597697"/>
    <w:rsid w:val="005A5719"/>
    <w:rsid w:val="005A5D33"/>
    <w:rsid w:val="005A6314"/>
    <w:rsid w:val="005B4F86"/>
    <w:rsid w:val="005C4640"/>
    <w:rsid w:val="005C5EAB"/>
    <w:rsid w:val="005D3E7B"/>
    <w:rsid w:val="005D40E9"/>
    <w:rsid w:val="005D67BC"/>
    <w:rsid w:val="005E01AF"/>
    <w:rsid w:val="005E1831"/>
    <w:rsid w:val="005E22FB"/>
    <w:rsid w:val="005E6911"/>
    <w:rsid w:val="005E6C75"/>
    <w:rsid w:val="00607979"/>
    <w:rsid w:val="00610EAF"/>
    <w:rsid w:val="00622659"/>
    <w:rsid w:val="00633747"/>
    <w:rsid w:val="00640717"/>
    <w:rsid w:val="00644DC8"/>
    <w:rsid w:val="006513FB"/>
    <w:rsid w:val="0065496F"/>
    <w:rsid w:val="00655745"/>
    <w:rsid w:val="0066071E"/>
    <w:rsid w:val="00662403"/>
    <w:rsid w:val="00685149"/>
    <w:rsid w:val="00690651"/>
    <w:rsid w:val="0069087A"/>
    <w:rsid w:val="006913F8"/>
    <w:rsid w:val="00695CFB"/>
    <w:rsid w:val="006A0DD2"/>
    <w:rsid w:val="006A17CD"/>
    <w:rsid w:val="006B5D9D"/>
    <w:rsid w:val="006C0839"/>
    <w:rsid w:val="006C347F"/>
    <w:rsid w:val="006C4495"/>
    <w:rsid w:val="006D33AB"/>
    <w:rsid w:val="006D4ED9"/>
    <w:rsid w:val="006D7B32"/>
    <w:rsid w:val="006E0BAA"/>
    <w:rsid w:val="006F7592"/>
    <w:rsid w:val="007057C6"/>
    <w:rsid w:val="007255D7"/>
    <w:rsid w:val="0072713E"/>
    <w:rsid w:val="007347DC"/>
    <w:rsid w:val="007348C2"/>
    <w:rsid w:val="00736D54"/>
    <w:rsid w:val="00744D33"/>
    <w:rsid w:val="00754229"/>
    <w:rsid w:val="0076077B"/>
    <w:rsid w:val="007623A8"/>
    <w:rsid w:val="007656A1"/>
    <w:rsid w:val="00767E90"/>
    <w:rsid w:val="00776478"/>
    <w:rsid w:val="00791B78"/>
    <w:rsid w:val="007920A6"/>
    <w:rsid w:val="007A1BD2"/>
    <w:rsid w:val="007A1C83"/>
    <w:rsid w:val="007A61BC"/>
    <w:rsid w:val="007A6388"/>
    <w:rsid w:val="007A63BB"/>
    <w:rsid w:val="007B75A2"/>
    <w:rsid w:val="007C237F"/>
    <w:rsid w:val="007C7C08"/>
    <w:rsid w:val="007D260D"/>
    <w:rsid w:val="007D4D69"/>
    <w:rsid w:val="007E08B8"/>
    <w:rsid w:val="007E2C23"/>
    <w:rsid w:val="007F503D"/>
    <w:rsid w:val="007F75CC"/>
    <w:rsid w:val="008212CF"/>
    <w:rsid w:val="00822E44"/>
    <w:rsid w:val="008264DD"/>
    <w:rsid w:val="008373BB"/>
    <w:rsid w:val="008435C4"/>
    <w:rsid w:val="00846ACA"/>
    <w:rsid w:val="008529B4"/>
    <w:rsid w:val="008539A0"/>
    <w:rsid w:val="00861F71"/>
    <w:rsid w:val="008641F1"/>
    <w:rsid w:val="00876EB6"/>
    <w:rsid w:val="00877640"/>
    <w:rsid w:val="00881A01"/>
    <w:rsid w:val="00882333"/>
    <w:rsid w:val="008848CB"/>
    <w:rsid w:val="00895088"/>
    <w:rsid w:val="008B7185"/>
    <w:rsid w:val="008C50E0"/>
    <w:rsid w:val="008C7293"/>
    <w:rsid w:val="008D2601"/>
    <w:rsid w:val="008D417B"/>
    <w:rsid w:val="008E242C"/>
    <w:rsid w:val="008E3175"/>
    <w:rsid w:val="008E4867"/>
    <w:rsid w:val="008E4C04"/>
    <w:rsid w:val="008E4F9F"/>
    <w:rsid w:val="008F0C33"/>
    <w:rsid w:val="008F3A12"/>
    <w:rsid w:val="008F3C69"/>
    <w:rsid w:val="00901176"/>
    <w:rsid w:val="00921072"/>
    <w:rsid w:val="00932519"/>
    <w:rsid w:val="00935085"/>
    <w:rsid w:val="00940B15"/>
    <w:rsid w:val="009413EF"/>
    <w:rsid w:val="009442CB"/>
    <w:rsid w:val="00950172"/>
    <w:rsid w:val="009529A1"/>
    <w:rsid w:val="00953262"/>
    <w:rsid w:val="00954F6B"/>
    <w:rsid w:val="00963F51"/>
    <w:rsid w:val="00985F72"/>
    <w:rsid w:val="00993C24"/>
    <w:rsid w:val="00995EFB"/>
    <w:rsid w:val="009A1CCC"/>
    <w:rsid w:val="009B2FD1"/>
    <w:rsid w:val="009C7A2D"/>
    <w:rsid w:val="009D5DAB"/>
    <w:rsid w:val="009D68D9"/>
    <w:rsid w:val="009F5075"/>
    <w:rsid w:val="00A21FAF"/>
    <w:rsid w:val="00A341B2"/>
    <w:rsid w:val="00A40C63"/>
    <w:rsid w:val="00A46886"/>
    <w:rsid w:val="00A566C7"/>
    <w:rsid w:val="00A61C31"/>
    <w:rsid w:val="00A63C2C"/>
    <w:rsid w:val="00A65F51"/>
    <w:rsid w:val="00A66D91"/>
    <w:rsid w:val="00A74375"/>
    <w:rsid w:val="00A810D2"/>
    <w:rsid w:val="00A86135"/>
    <w:rsid w:val="00A93509"/>
    <w:rsid w:val="00A9671C"/>
    <w:rsid w:val="00AA6F8F"/>
    <w:rsid w:val="00AB2436"/>
    <w:rsid w:val="00AB47AA"/>
    <w:rsid w:val="00AC62E6"/>
    <w:rsid w:val="00AD7507"/>
    <w:rsid w:val="00AD7BB7"/>
    <w:rsid w:val="00AD7E9B"/>
    <w:rsid w:val="00AF3821"/>
    <w:rsid w:val="00AF60A1"/>
    <w:rsid w:val="00B05071"/>
    <w:rsid w:val="00B1726E"/>
    <w:rsid w:val="00B368C6"/>
    <w:rsid w:val="00B36C04"/>
    <w:rsid w:val="00B51133"/>
    <w:rsid w:val="00B558E8"/>
    <w:rsid w:val="00B567BE"/>
    <w:rsid w:val="00B62A24"/>
    <w:rsid w:val="00B81E66"/>
    <w:rsid w:val="00B93371"/>
    <w:rsid w:val="00BA0CB9"/>
    <w:rsid w:val="00BA2C8F"/>
    <w:rsid w:val="00BA4859"/>
    <w:rsid w:val="00BA699A"/>
    <w:rsid w:val="00BA769F"/>
    <w:rsid w:val="00BC5125"/>
    <w:rsid w:val="00BD1375"/>
    <w:rsid w:val="00BF4BF8"/>
    <w:rsid w:val="00C0015A"/>
    <w:rsid w:val="00C10E7B"/>
    <w:rsid w:val="00C11775"/>
    <w:rsid w:val="00C21E06"/>
    <w:rsid w:val="00C22ACE"/>
    <w:rsid w:val="00C27964"/>
    <w:rsid w:val="00C3162F"/>
    <w:rsid w:val="00C3491C"/>
    <w:rsid w:val="00C36420"/>
    <w:rsid w:val="00C475CC"/>
    <w:rsid w:val="00C611DB"/>
    <w:rsid w:val="00C62541"/>
    <w:rsid w:val="00C70A85"/>
    <w:rsid w:val="00C76EE3"/>
    <w:rsid w:val="00C77EE9"/>
    <w:rsid w:val="00C80FF6"/>
    <w:rsid w:val="00C846EF"/>
    <w:rsid w:val="00C969F1"/>
    <w:rsid w:val="00C97162"/>
    <w:rsid w:val="00CC0F10"/>
    <w:rsid w:val="00CC1243"/>
    <w:rsid w:val="00CC24A1"/>
    <w:rsid w:val="00CC3E20"/>
    <w:rsid w:val="00CD4F0C"/>
    <w:rsid w:val="00CD6EB8"/>
    <w:rsid w:val="00CE3F04"/>
    <w:rsid w:val="00CF7856"/>
    <w:rsid w:val="00CF7F55"/>
    <w:rsid w:val="00D00E04"/>
    <w:rsid w:val="00D11DDB"/>
    <w:rsid w:val="00D134E1"/>
    <w:rsid w:val="00D13864"/>
    <w:rsid w:val="00D16E69"/>
    <w:rsid w:val="00D213D6"/>
    <w:rsid w:val="00D23114"/>
    <w:rsid w:val="00D24276"/>
    <w:rsid w:val="00D33F58"/>
    <w:rsid w:val="00D372CD"/>
    <w:rsid w:val="00D5013B"/>
    <w:rsid w:val="00D51A7C"/>
    <w:rsid w:val="00D55E3D"/>
    <w:rsid w:val="00D5644C"/>
    <w:rsid w:val="00D5712B"/>
    <w:rsid w:val="00D600E1"/>
    <w:rsid w:val="00D618F6"/>
    <w:rsid w:val="00D80BA8"/>
    <w:rsid w:val="00D82CB3"/>
    <w:rsid w:val="00D84D4A"/>
    <w:rsid w:val="00DA17F3"/>
    <w:rsid w:val="00DA77F8"/>
    <w:rsid w:val="00DB2C6E"/>
    <w:rsid w:val="00DC7BB1"/>
    <w:rsid w:val="00DD0632"/>
    <w:rsid w:val="00DD2E33"/>
    <w:rsid w:val="00DE44B4"/>
    <w:rsid w:val="00DE4825"/>
    <w:rsid w:val="00DF01E1"/>
    <w:rsid w:val="00DF5E88"/>
    <w:rsid w:val="00DF611F"/>
    <w:rsid w:val="00E010B8"/>
    <w:rsid w:val="00E015CE"/>
    <w:rsid w:val="00E036DA"/>
    <w:rsid w:val="00E05286"/>
    <w:rsid w:val="00E156F2"/>
    <w:rsid w:val="00E30210"/>
    <w:rsid w:val="00E35D78"/>
    <w:rsid w:val="00E40167"/>
    <w:rsid w:val="00E45D63"/>
    <w:rsid w:val="00E54CA2"/>
    <w:rsid w:val="00E5532E"/>
    <w:rsid w:val="00E5772E"/>
    <w:rsid w:val="00E66BBB"/>
    <w:rsid w:val="00E67228"/>
    <w:rsid w:val="00E77878"/>
    <w:rsid w:val="00E80983"/>
    <w:rsid w:val="00E83A9B"/>
    <w:rsid w:val="00E85A8C"/>
    <w:rsid w:val="00E86F95"/>
    <w:rsid w:val="00E91C9C"/>
    <w:rsid w:val="00E967A2"/>
    <w:rsid w:val="00EA40C4"/>
    <w:rsid w:val="00EB0869"/>
    <w:rsid w:val="00EB312B"/>
    <w:rsid w:val="00EC0F76"/>
    <w:rsid w:val="00EC677A"/>
    <w:rsid w:val="00EC6BE3"/>
    <w:rsid w:val="00ED71A6"/>
    <w:rsid w:val="00EE50B0"/>
    <w:rsid w:val="00EE5146"/>
    <w:rsid w:val="00EF6300"/>
    <w:rsid w:val="00F04311"/>
    <w:rsid w:val="00F05553"/>
    <w:rsid w:val="00F06597"/>
    <w:rsid w:val="00F16722"/>
    <w:rsid w:val="00F37F4A"/>
    <w:rsid w:val="00F43B6D"/>
    <w:rsid w:val="00F475E9"/>
    <w:rsid w:val="00F52346"/>
    <w:rsid w:val="00F5370A"/>
    <w:rsid w:val="00F561E8"/>
    <w:rsid w:val="00F569FC"/>
    <w:rsid w:val="00F6005A"/>
    <w:rsid w:val="00F60B2A"/>
    <w:rsid w:val="00F651AD"/>
    <w:rsid w:val="00F93A2E"/>
    <w:rsid w:val="00FA1FE4"/>
    <w:rsid w:val="00FA3BAC"/>
    <w:rsid w:val="00FA4245"/>
    <w:rsid w:val="00FA4685"/>
    <w:rsid w:val="00FA4FE1"/>
    <w:rsid w:val="00FA6EFC"/>
    <w:rsid w:val="00FB092A"/>
    <w:rsid w:val="00FC34BF"/>
    <w:rsid w:val="00FD0E34"/>
    <w:rsid w:val="00FE0CBF"/>
    <w:rsid w:val="00FE0EFC"/>
    <w:rsid w:val="00FF11A9"/>
    <w:rsid w:val="00FF234E"/>
    <w:rsid w:val="00FF4C9D"/>
    <w:rsid w:val="00FF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0760AF"/>
    <w:rPr>
      <w:sz w:val="20"/>
    </w:rPr>
  </w:style>
  <w:style w:type="character" w:customStyle="1" w:styleId="KommentartextZchn">
    <w:name w:val="Kommentartext Zchn"/>
    <w:basedOn w:val="Absatz-Standardschriftart"/>
    <w:link w:val="Kommentartext"/>
    <w:uiPriority w:val="99"/>
    <w:rsid w:val="000760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760AF"/>
    <w:rPr>
      <w:b/>
      <w:bCs/>
    </w:rPr>
  </w:style>
  <w:style w:type="character" w:customStyle="1" w:styleId="KommentarthemaZchn">
    <w:name w:val="Kommentarthema Zchn"/>
    <w:basedOn w:val="KommentartextZchn"/>
    <w:link w:val="Kommentarthema"/>
    <w:uiPriority w:val="99"/>
    <w:semiHidden/>
    <w:rsid w:val="000760AF"/>
    <w:rPr>
      <w:rFonts w:ascii="Arial" w:eastAsia="Times New Roman" w:hAnsi="Arial" w:cs="Times New Roman"/>
      <w:b/>
      <w:bCs/>
      <w:sz w:val="20"/>
      <w:szCs w:val="20"/>
      <w:lang w:eastAsia="de-DE"/>
    </w:rPr>
  </w:style>
  <w:style w:type="character" w:customStyle="1" w:styleId="ui-provider">
    <w:name w:val="ui-provider"/>
    <w:basedOn w:val="Absatz-Standardschriftart"/>
    <w:rsid w:val="004E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1569">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34998113">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243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2BE1C-6E24-4D60-9B32-EA047F21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31EB7965-0309-4D5C-A7E1-B3FCF397C879}">
  <ds:schemaRefs>
    <ds:schemaRef ds:uri="http://schemas.openxmlformats.org/package/2006/metadata/core-properties"/>
    <ds:schemaRef ds:uri="11686261-3a57-4f49-b857-024a6be3eef2"/>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eb80fa5a-255f-4d72-83e2-dc88c071d104"/>
    <ds:schemaRef ds:uri="http://www.w3.org/XML/1998/namespace"/>
    <ds:schemaRef ds:uri="03202a51-e097-4c5e-a342-e0a4c97f7bcb"/>
    <ds:schemaRef ds:uri="e012e28e-d7dd-4009-96de-63c659adc1c3"/>
  </ds:schemaRefs>
</ds:datastoreItem>
</file>

<file path=customXml/itemProps4.xml><?xml version="1.0" encoding="utf-8"?>
<ds:datastoreItem xmlns:ds="http://schemas.openxmlformats.org/officeDocument/2006/customXml" ds:itemID="{0154CA23-224B-4ADA-8D12-C83E67646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2024-01-23T11:21:00Z</cp:lastPrinted>
  <dcterms:created xsi:type="dcterms:W3CDTF">2025-01-24T09:04:00Z</dcterms:created>
  <dcterms:modified xsi:type="dcterms:W3CDTF">2025-02-28T10:09:00Z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0x010100E5FAD07504D9C341AEA2231B8AB433A3</vt:lpwstr>
  </property>
</Properties>
</file>